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17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2447158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2A653D9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因业务需要，我院将采购一次性使用呼吸过滤器等4项耗材一批，现对其进行询价采购，欢迎具有相应资质能力的供应商积极参与。</w:t>
      </w:r>
    </w:p>
    <w:p w14:paraId="3A3BBA5B">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5DB2C0B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一次性使用呼吸过滤器等4项耗材采购（三次）。</w:t>
      </w:r>
    </w:p>
    <w:p w14:paraId="5DE9853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61F89DE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w:t>
      </w:r>
      <w:r>
        <w:rPr>
          <w:rFonts w:hint="eastAsia" w:ascii="国标宋体" w:hAnsi="国标宋体" w:eastAsia="国标宋体" w:cs="国标宋体"/>
          <w:sz w:val="28"/>
          <w:szCs w:val="28"/>
          <w:lang w:val="en-US" w:eastAsia="zh-CN"/>
        </w:rPr>
        <w:t>据实际供货数量据实结算，供应商根据自身情况，可以对其中一项或几项进行报价。</w:t>
      </w:r>
    </w:p>
    <w:p w14:paraId="31F3128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4F7B6EB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27E185E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421951E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03FD2F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063AC5D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05FA2ED3">
      <w:pPr>
        <w:pStyle w:val="3"/>
        <w:bidi w:val="0"/>
        <w:ind w:firstLine="560" w:firstLineChars="200"/>
        <w:jc w:val="both"/>
        <w:rPr>
          <w:rFonts w:hint="eastAsia" w:ascii="国标宋体" w:hAnsi="国标宋体" w:eastAsia="国标宋体" w:cs="国标宋体"/>
          <w:b w:val="0"/>
          <w:bCs w:val="0"/>
          <w:color w:val="auto"/>
          <w:sz w:val="28"/>
          <w:szCs w:val="28"/>
          <w:lang w:val="en-US" w:eastAsia="zh-CN" w:bidi="ar-SA"/>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56C7C300">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注：前两次已成功递交《报价资料》的供应商，资格仍然有效，此次无需再次递交。</w:t>
      </w:r>
    </w:p>
    <w:p w14:paraId="0D20209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1973B1E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报价资料提交方式：现场提交或邮寄，将以上资料密封，封面盖公章留下联系方式，</w:t>
      </w:r>
      <w:r>
        <w:rPr>
          <w:rFonts w:hint="eastAsia" w:ascii="国标宋体" w:hAnsi="国标宋体" w:eastAsia="国标宋体" w:cs="国标宋体"/>
          <w:color w:val="0000FF"/>
          <w:sz w:val="28"/>
          <w:szCs w:val="28"/>
          <w:lang w:val="en-US" w:eastAsia="zh-CN"/>
        </w:rPr>
        <w:t>并注明所投产品序号</w:t>
      </w:r>
      <w:r>
        <w:rPr>
          <w:rFonts w:hint="eastAsia" w:ascii="国标宋体" w:hAnsi="国标宋体" w:eastAsia="国标宋体" w:cs="国标宋体"/>
          <w:sz w:val="28"/>
          <w:szCs w:val="28"/>
          <w:lang w:val="en-US" w:eastAsia="zh-CN"/>
        </w:rPr>
        <w:t>。（未按要求密封将拒绝接收）</w:t>
      </w:r>
    </w:p>
    <w:p w14:paraId="26D1F88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3E3CE78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3、响应文件提交截止时间：2026年3月6日11：30（接收时间：工作日8：00-11：30、14：00-17：30）。</w:t>
      </w:r>
    </w:p>
    <w:p w14:paraId="2C854EF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3B89C7A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3DB1F9D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442" w:type="pct"/>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209"/>
        <w:gridCol w:w="6381"/>
        <w:gridCol w:w="750"/>
        <w:gridCol w:w="1120"/>
        <w:gridCol w:w="827"/>
      </w:tblGrid>
      <w:tr w14:paraId="1214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3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3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B29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278C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6762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3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6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一次性使用呼吸过滤器</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A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外壳材料采用优质医用高分子材料，强度高。内芯（过滤膜）以聚丙烯纤维为原料，外层涂无色、无味、无菌，细菌过滤效率%≥99%，病毒过滤效率≥95.9%，需提供第三方检测报告。具备水份散失低、材料无毒、死腔量低、气体阻力低、热交换量高的优势。</w:t>
            </w:r>
          </w:p>
          <w:p w14:paraId="000A40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2、规格尺寸要求：</w:t>
            </w:r>
          </w:p>
          <w:p w14:paraId="5E5E8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规格1：适配安徽电子科学研究所PFT-B肺功能测试仪，长度75mm，允差±5mm,病人端外径30mm、内径26mm，允差±0.5mm，机器端外径26mm、内径24.5mm，允差±0.5mm</w:t>
            </w:r>
          </w:p>
          <w:p w14:paraId="7795A1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规格2、适配CareFusion Germany 234 GmbH生产的肺功能测试仪（型号：MasterScreen PFT+IOS+APS）,长度95mm，允差±5mm,病人端外径29mm、内径27mm，允差±1mm，机器端外径34mm、内径30mm，允差±1mm。</w:t>
            </w:r>
          </w:p>
          <w:p w14:paraId="015933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3、安装和拆卸简便快捷，结构牢固，不易被患者咬破。外观材质触感无锐角、柔软舒适。</w:t>
            </w:r>
          </w:p>
          <w:p w14:paraId="58A44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4、灭菌方式（如：环氧乙烷EO, 伽马射线），提供无菌消毒检测报告。</w:t>
            </w:r>
          </w:p>
          <w:p w14:paraId="3DBF3E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5、单个独立灭菌包装，独立可撕袋。包装袋上标识清晰，具有灭菌指示标识、生产日期、效期等。</w:t>
            </w:r>
          </w:p>
          <w:p w14:paraId="58FD13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耗材要求具有食品药品监督管理部门批准注册的二类医疗器械注册证，具有贵州医保目录内27位医保收费编码，并明确可收费，甲类优于乙类优于全自费。</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C5370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116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1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要求</w:t>
            </w:r>
            <w:r>
              <w:rPr>
                <w:rFonts w:hint="eastAsia" w:asciiTheme="minorEastAsia" w:hAnsiTheme="minorEastAsia" w:eastAsiaTheme="minorEastAsia" w:cstheme="minorEastAsia"/>
                <w:i w:val="0"/>
                <w:iCs w:val="0"/>
                <w:color w:val="auto"/>
                <w:kern w:val="0"/>
                <w:sz w:val="21"/>
                <w:szCs w:val="21"/>
                <w:u w:val="none"/>
                <w:lang w:val="en-US" w:eastAsia="zh-CN" w:bidi="ar"/>
              </w:rPr>
              <w:t>提供样品</w:t>
            </w:r>
          </w:p>
        </w:tc>
      </w:tr>
      <w:tr w14:paraId="53D9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5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C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化学换肤术护理包</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1、主要由无菌敷料、医用棉片、医用棉垫和医用棉签四部分组成。无菌敷料为主要由透明质酸钠、甘油、卡波姆等基材组成的面膜，精华至少25g；包内棉片至少5片/包，棉垫至少5片/包，棉签至少5支/包。</w:t>
            </w:r>
          </w:p>
          <w:p w14:paraId="022E85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2、配含量30%±1%分子束水杨酸的水杨酸抑菌凝露至少2支（至少3克每支）。</w:t>
            </w:r>
          </w:p>
          <w:p w14:paraId="008043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3、耗材要求具有食品药品监督管理部门批准注册的二类医疗器械注册证。</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1D82C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B86D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F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67B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7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F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医用敷料</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2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1、结构及组成/主要组成成分：由敷料和包装材料组成。敷料主要由卡波姆、乳酸和纯化水组成。包装材料为硼硅玻璃瓶，每瓶至少3g。</w:t>
            </w:r>
          </w:p>
          <w:p w14:paraId="664744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2、耗材要求具有食品药品监督管理部门批准注册的二类医疗器械注册证。</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1CEDD8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3B73A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F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C7D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F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5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一次性使用无菌针灸针</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27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1、由针体和针柄组成，经环氧乙烷或辐照灭菌，一次性使用。。</w:t>
            </w:r>
          </w:p>
          <w:p w14:paraId="2C1713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2、针灸针的针柄型式：塑柄针。</w:t>
            </w:r>
          </w:p>
          <w:p w14:paraId="0BBE4B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3、规格：至少包含0.12、0.14、0.16、0.18*7mm的规格。</w:t>
            </w:r>
          </w:p>
          <w:p w14:paraId="74986D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4、具有食品药品卫生监督等管理部门批准注册的医疗器械注册证或备案凭证。</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0824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9680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0.15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0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26D1369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76F0620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65BAC6E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7047E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7BE816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545B4B6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2CE3060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38FB733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61B90E2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3495B63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013AA9A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2709A8C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EB1F5F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66B2A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75F8B98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w:t>
      </w:r>
      <w:r>
        <w:rPr>
          <w:rFonts w:hint="eastAsia" w:ascii="国标宋体" w:hAnsi="国标宋体" w:eastAsia="国标宋体" w:cs="国标宋体"/>
          <w:sz w:val="28"/>
          <w:szCs w:val="28"/>
        </w:rPr>
        <w:t>低者中标。</w:t>
      </w:r>
    </w:p>
    <w:p w14:paraId="508198A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5739C2F1">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3E29B4A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26B9837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4F44197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698CF8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2026年2月28日</w:t>
      </w:r>
      <w:bookmarkStart w:id="0" w:name="_GoBack"/>
      <w:bookmarkEnd w:id="0"/>
      <w:r>
        <w:rPr>
          <w:rFonts w:hint="eastAsia" w:ascii="国标宋体" w:hAnsi="国标宋体" w:eastAsia="国标宋体" w:cs="国标宋体"/>
          <w:sz w:val="28"/>
          <w:szCs w:val="28"/>
          <w:lang w:val="en-US" w:eastAsia="zh-CN"/>
        </w:rPr>
        <w:t xml:space="preserve">  </w:t>
      </w:r>
    </w:p>
    <w:p w14:paraId="3CAB2742">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7A0FFFBD">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5B41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70BEB240">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5B0E9874">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32F7AC1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1A5B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5FC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23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8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9A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7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CE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D6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E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C82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D545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611B">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30C85">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D6B9">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D1652">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FAC4B">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D3ADE">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FE896">
            <w:pPr>
              <w:rPr>
                <w:rFonts w:hint="eastAsia" w:ascii="宋体" w:hAnsi="宋体" w:eastAsia="宋体" w:cs="宋体"/>
                <w:i w:val="0"/>
                <w:iCs w:val="0"/>
                <w:color w:val="000000"/>
                <w:sz w:val="22"/>
                <w:szCs w:val="22"/>
                <w:u w:val="none"/>
              </w:rPr>
            </w:pPr>
          </w:p>
        </w:tc>
      </w:tr>
      <w:tr w14:paraId="485F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D85D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09E77">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93FCC">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1A4F8">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E817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98353">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7E2F4">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D9543">
            <w:pPr>
              <w:rPr>
                <w:rFonts w:hint="eastAsia" w:ascii="宋体" w:hAnsi="宋体" w:eastAsia="宋体" w:cs="宋体"/>
                <w:i w:val="0"/>
                <w:iCs w:val="0"/>
                <w:color w:val="000000"/>
                <w:sz w:val="22"/>
                <w:szCs w:val="22"/>
                <w:u w:val="none"/>
              </w:rPr>
            </w:pPr>
          </w:p>
        </w:tc>
      </w:tr>
      <w:tr w14:paraId="6E0C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A3E3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00D24">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C03A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F6021">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C28BA">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D1635">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827F6">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8891C">
            <w:pPr>
              <w:rPr>
                <w:rFonts w:hint="eastAsia" w:ascii="宋体" w:hAnsi="宋体" w:eastAsia="宋体" w:cs="宋体"/>
                <w:i w:val="0"/>
                <w:iCs w:val="0"/>
                <w:color w:val="000000"/>
                <w:sz w:val="22"/>
                <w:szCs w:val="22"/>
                <w:u w:val="none"/>
              </w:rPr>
            </w:pPr>
          </w:p>
        </w:tc>
      </w:tr>
      <w:tr w14:paraId="05B5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BA0A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4CE7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D518D">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4C8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AF936">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A3AC6">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F9755">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EBE0">
            <w:pPr>
              <w:rPr>
                <w:rFonts w:hint="eastAsia" w:ascii="宋体" w:hAnsi="宋体" w:eastAsia="宋体" w:cs="宋体"/>
                <w:i w:val="0"/>
                <w:iCs w:val="0"/>
                <w:color w:val="000000"/>
                <w:sz w:val="22"/>
                <w:szCs w:val="22"/>
                <w:u w:val="none"/>
              </w:rPr>
            </w:pPr>
          </w:p>
        </w:tc>
      </w:tr>
    </w:tbl>
    <w:p w14:paraId="18BBA2A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6B6CAEFC">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1512E4B8">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7AC3972F">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009576D">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77D2DC3">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2CF475A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2E4D06AC">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1E6C30D3">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3A218D42">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41988F40">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4AAC3937">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401007A4">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8A519D9">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045B41A1">
      <w:pPr>
        <w:rPr>
          <w:rFonts w:hint="eastAsia"/>
          <w:b w:val="0"/>
          <w:bCs w:val="0"/>
          <w:sz w:val="28"/>
          <w:szCs w:val="28"/>
          <w:lang w:val="en-US" w:eastAsia="zh-CN"/>
        </w:rPr>
      </w:pPr>
      <w:r>
        <w:rPr>
          <w:rFonts w:hint="eastAsia"/>
          <w:b w:val="0"/>
          <w:bCs w:val="0"/>
          <w:sz w:val="28"/>
          <w:szCs w:val="28"/>
          <w:lang w:val="en-US" w:eastAsia="zh-CN"/>
        </w:rPr>
        <w:br w:type="page"/>
      </w:r>
    </w:p>
    <w:p w14:paraId="59272660">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45664ED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5BDDF55C">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603B502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51F1FCB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4D7C31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4C97AC7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189C11A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74EB638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D2A1F1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00A88F9E-005C-48CB-AF14-876DA6B23B09}"/>
  </w:font>
  <w:font w:name="CESI宋体-GB2312">
    <w:altName w:val="宋体"/>
    <w:panose1 w:val="02000500000000000000"/>
    <w:charset w:val="86"/>
    <w:family w:val="auto"/>
    <w:pitch w:val="default"/>
    <w:sig w:usb0="00000000" w:usb1="00000000" w:usb2="00000010" w:usb3="00000000" w:csb0="0004000F" w:csb1="00000000"/>
    <w:embedRegular r:id="rId2" w:fontKey="{89112356-1B7E-4849-A1E8-C337ADC77DDB}"/>
  </w:font>
  <w:font w:name="国标宋体">
    <w:altName w:val="宋体"/>
    <w:panose1 w:val="02000500000000000000"/>
    <w:charset w:val="86"/>
    <w:family w:val="auto"/>
    <w:pitch w:val="default"/>
    <w:sig w:usb0="00000000" w:usb1="00000000" w:usb2="00000000" w:usb3="00000000" w:csb0="00060007" w:csb1="00000000"/>
    <w:embedRegular r:id="rId3" w:fontKey="{2E72E63E-D2F9-49C1-A167-510CCAD272E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65066EC"/>
    <w:rsid w:val="0EF5CB64"/>
    <w:rsid w:val="1FF7D432"/>
    <w:rsid w:val="2EF6F06B"/>
    <w:rsid w:val="337DD1B5"/>
    <w:rsid w:val="39BCEA88"/>
    <w:rsid w:val="3A6A0F07"/>
    <w:rsid w:val="3F5F384A"/>
    <w:rsid w:val="3FC34C2F"/>
    <w:rsid w:val="3FDB0183"/>
    <w:rsid w:val="477F2F76"/>
    <w:rsid w:val="4F753C77"/>
    <w:rsid w:val="53FD90C7"/>
    <w:rsid w:val="57BF79AD"/>
    <w:rsid w:val="57D9EAAB"/>
    <w:rsid w:val="5ACB5F77"/>
    <w:rsid w:val="5D73A673"/>
    <w:rsid w:val="5EBE6D8B"/>
    <w:rsid w:val="617380BB"/>
    <w:rsid w:val="671D75C9"/>
    <w:rsid w:val="677B6D8C"/>
    <w:rsid w:val="67F7F0B4"/>
    <w:rsid w:val="6D4F83BF"/>
    <w:rsid w:val="6DEB4304"/>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2592</Words>
  <Characters>2820</Characters>
  <TotalTime>10</TotalTime>
  <ScaleCrop>false</ScaleCrop>
  <LinksUpToDate>false</LinksUpToDate>
  <CharactersWithSpaces>3001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2024-09-01T08:10:00Z</dcterms:created>
  <dc:creator>thtf</dc:creator>
  <cp:lastModifiedBy>陈航</cp:lastModifiedBy>
  <dcterms:modified xsi:type="dcterms:W3CDTF">2026-02-28T09:18:44Z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8C853AC94F9E481A8E31130027BE5CE7_13</vt:lpwstr>
  </property>
  <property fmtid="{D5CDD505-2E9C-101B-9397-08002B2CF9AE}" pid="4" name="KSOTemplateDocerSaveRecord">
    <vt:lpwstr>eyJoZGlkIjoiOTAxM2U2YWEwM2MzOTBiNTM0NWQ2NzhkMmI2MmNlOWYiLCJ1c2VySWQiOiIyOTIwMzg5MDgifQ==</vt:lpwstr>
  </property>
</Properties>
</file>